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0" w:rsidRPr="00BA1DE0" w:rsidRDefault="00BA1DE0" w:rsidP="00BA1DE0">
      <w:pPr>
        <w:jc w:val="center"/>
        <w:rPr>
          <w:b/>
          <w:sz w:val="28"/>
          <w:u w:val="single"/>
        </w:rPr>
      </w:pPr>
      <w:r w:rsidRPr="00BA1DE0">
        <w:rPr>
          <w:b/>
          <w:sz w:val="28"/>
          <w:u w:val="single"/>
        </w:rPr>
        <w:t>FEE STRUCTURE FOR FRESH AFFILIATION</w:t>
      </w:r>
    </w:p>
    <w:tbl>
      <w:tblPr>
        <w:tblStyle w:val="TableGrid"/>
        <w:tblW w:w="16254" w:type="dxa"/>
        <w:tblLook w:val="04A0"/>
      </w:tblPr>
      <w:tblGrid>
        <w:gridCol w:w="3888"/>
        <w:gridCol w:w="1181"/>
        <w:gridCol w:w="1339"/>
        <w:gridCol w:w="1350"/>
        <w:gridCol w:w="1530"/>
        <w:gridCol w:w="6966"/>
      </w:tblGrid>
      <w:tr w:rsidR="007135A4" w:rsidRPr="0086454D" w:rsidTr="00CF5ED0">
        <w:tc>
          <w:tcPr>
            <w:tcW w:w="3888" w:type="dxa"/>
            <w:vMerge w:val="restart"/>
          </w:tcPr>
          <w:p w:rsidR="007135A4" w:rsidRPr="0086454D" w:rsidRDefault="007135A4" w:rsidP="0092036D">
            <w:pPr>
              <w:rPr>
                <w:rFonts w:cstheme="minorHAnsi"/>
                <w:b/>
              </w:rPr>
            </w:pPr>
            <w:r w:rsidRPr="0086454D">
              <w:rPr>
                <w:rFonts w:cstheme="minorHAnsi"/>
                <w:b/>
              </w:rPr>
              <w:t xml:space="preserve">Fee detail  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7135A4" w:rsidRPr="0086454D" w:rsidRDefault="007135A4" w:rsidP="007135A4">
            <w:pPr>
              <w:jc w:val="center"/>
              <w:rPr>
                <w:rFonts w:cstheme="minorHAnsi"/>
                <w:b/>
              </w:rPr>
            </w:pPr>
            <w:r w:rsidRPr="0086454D">
              <w:rPr>
                <w:rFonts w:cstheme="minorHAnsi"/>
                <w:b/>
              </w:rPr>
              <w:t>Pakistan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7135A4" w:rsidRPr="0086454D" w:rsidRDefault="007135A4" w:rsidP="007135A4">
            <w:pPr>
              <w:jc w:val="center"/>
              <w:rPr>
                <w:rFonts w:cstheme="minorHAnsi"/>
                <w:b/>
              </w:rPr>
            </w:pPr>
            <w:r w:rsidRPr="0086454D">
              <w:rPr>
                <w:rFonts w:cstheme="minorHAnsi"/>
                <w:b/>
              </w:rPr>
              <w:t>Abroad</w:t>
            </w:r>
          </w:p>
        </w:tc>
        <w:tc>
          <w:tcPr>
            <w:tcW w:w="6966" w:type="dxa"/>
            <w:vMerge w:val="restart"/>
          </w:tcPr>
          <w:p w:rsidR="007135A4" w:rsidRPr="0086454D" w:rsidRDefault="007135A4" w:rsidP="0092036D">
            <w:pPr>
              <w:jc w:val="center"/>
              <w:rPr>
                <w:rFonts w:cstheme="minorHAnsi"/>
                <w:b/>
              </w:rPr>
            </w:pPr>
            <w:r w:rsidRPr="0086454D">
              <w:rPr>
                <w:rFonts w:cstheme="minorHAnsi"/>
                <w:b/>
              </w:rPr>
              <w:t xml:space="preserve">Documents to the attached </w:t>
            </w:r>
          </w:p>
        </w:tc>
      </w:tr>
      <w:tr w:rsidR="007135A4" w:rsidRPr="0086454D" w:rsidTr="00CF5ED0">
        <w:tc>
          <w:tcPr>
            <w:tcW w:w="3888" w:type="dxa"/>
            <w:vMerge/>
          </w:tcPr>
          <w:p w:rsidR="007135A4" w:rsidRPr="0086454D" w:rsidRDefault="007135A4" w:rsidP="0092036D">
            <w:pPr>
              <w:rPr>
                <w:rFonts w:cstheme="minorHAnsi"/>
                <w:b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7135A4" w:rsidRPr="0086454D" w:rsidRDefault="007135A4" w:rsidP="0092036D">
            <w:pPr>
              <w:rPr>
                <w:rFonts w:cstheme="minorHAnsi"/>
                <w:b/>
              </w:rPr>
            </w:pPr>
            <w:proofErr w:type="spellStart"/>
            <w:r w:rsidRPr="0086454D">
              <w:rPr>
                <w:rFonts w:cstheme="minorHAnsi"/>
                <w:b/>
              </w:rPr>
              <w:t>SSC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7135A4" w:rsidRPr="0086454D" w:rsidRDefault="007135A4" w:rsidP="0092036D">
            <w:pPr>
              <w:rPr>
                <w:rFonts w:cstheme="minorHAnsi"/>
                <w:b/>
              </w:rPr>
            </w:pPr>
            <w:proofErr w:type="spellStart"/>
            <w:r w:rsidRPr="0086454D">
              <w:rPr>
                <w:rFonts w:cstheme="minorHAnsi"/>
                <w:b/>
              </w:rPr>
              <w:t>HSSC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135A4" w:rsidRPr="0086454D" w:rsidRDefault="007135A4" w:rsidP="0092036D">
            <w:pPr>
              <w:rPr>
                <w:rFonts w:cstheme="minorHAnsi"/>
                <w:b/>
              </w:rPr>
            </w:pPr>
            <w:proofErr w:type="spellStart"/>
            <w:r w:rsidRPr="0086454D">
              <w:rPr>
                <w:rFonts w:cstheme="minorHAnsi"/>
                <w:b/>
              </w:rPr>
              <w:t>SSC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135A4" w:rsidRPr="0086454D" w:rsidRDefault="007135A4" w:rsidP="0092036D">
            <w:pPr>
              <w:rPr>
                <w:rFonts w:cstheme="minorHAnsi"/>
                <w:b/>
              </w:rPr>
            </w:pPr>
            <w:proofErr w:type="spellStart"/>
            <w:r w:rsidRPr="0086454D">
              <w:rPr>
                <w:rFonts w:cstheme="minorHAnsi"/>
                <w:b/>
              </w:rPr>
              <w:t>HSSC</w:t>
            </w:r>
            <w:proofErr w:type="spellEnd"/>
          </w:p>
        </w:tc>
        <w:tc>
          <w:tcPr>
            <w:tcW w:w="6966" w:type="dxa"/>
            <w:vMerge/>
          </w:tcPr>
          <w:p w:rsidR="007135A4" w:rsidRPr="0086454D" w:rsidRDefault="007135A4" w:rsidP="0092036D">
            <w:pPr>
              <w:jc w:val="center"/>
              <w:rPr>
                <w:rFonts w:cstheme="minorHAnsi"/>
                <w:b/>
              </w:rPr>
            </w:pPr>
          </w:p>
        </w:tc>
      </w:tr>
      <w:tr w:rsidR="0086454D" w:rsidRPr="0086454D" w:rsidTr="00CF5ED0">
        <w:trPr>
          <w:trHeight w:val="432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6454D" w:rsidRPr="0086454D" w:rsidRDefault="0086454D" w:rsidP="0092036D">
            <w:pPr>
              <w:rPr>
                <w:bCs/>
              </w:rPr>
            </w:pPr>
            <w:r w:rsidRPr="0086454D">
              <w:rPr>
                <w:bCs/>
              </w:rPr>
              <w:t xml:space="preserve">Fresh affiliation processing fee 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Rs10000/-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Rs10000/-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$ 100/-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$ 100/-</w:t>
            </w:r>
          </w:p>
        </w:tc>
        <w:tc>
          <w:tcPr>
            <w:tcW w:w="6966" w:type="dxa"/>
            <w:vMerge w:val="restart"/>
          </w:tcPr>
          <w:p w:rsidR="0086454D" w:rsidRPr="0086454D" w:rsidRDefault="0086454D" w:rsidP="0092036D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ind w:left="360" w:right="14"/>
              <w:jc w:val="both"/>
              <w:rPr>
                <w:rFonts w:ascii="Calibri" w:eastAsia="Calibri" w:hAnsi="Calibri" w:cs="Calibri"/>
                <w:bCs/>
              </w:rPr>
            </w:pPr>
            <w:r w:rsidRPr="0086454D">
              <w:rPr>
                <w:rFonts w:ascii="Calibri" w:eastAsia="Calibri" w:hAnsi="Calibri" w:cs="Calibri"/>
                <w:bCs/>
              </w:rPr>
              <w:t xml:space="preserve">Registration certificate from </w:t>
            </w:r>
            <w:proofErr w:type="spellStart"/>
            <w:r w:rsidRPr="0086454D">
              <w:rPr>
                <w:rFonts w:ascii="Calibri" w:eastAsia="Calibri" w:hAnsi="Calibri" w:cs="Calibri"/>
                <w:bCs/>
              </w:rPr>
              <w:t>PEIRA</w:t>
            </w:r>
            <w:proofErr w:type="spellEnd"/>
            <w:r w:rsidRPr="0086454D">
              <w:rPr>
                <w:rFonts w:ascii="Calibri" w:eastAsia="Calibri" w:hAnsi="Calibri" w:cs="Calibri"/>
                <w:bCs/>
              </w:rPr>
              <w:t xml:space="preserve">, Islamabad, </w:t>
            </w:r>
            <w:proofErr w:type="spellStart"/>
            <w:r w:rsidRPr="0086454D">
              <w:rPr>
                <w:rFonts w:ascii="Calibri" w:eastAsia="Calibri" w:hAnsi="Calibri" w:cs="Calibri"/>
                <w:bCs/>
              </w:rPr>
              <w:t>PSRA</w:t>
            </w:r>
            <w:proofErr w:type="spellEnd"/>
            <w:r w:rsidRPr="0086454D"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 w:rsidRPr="0086454D">
              <w:rPr>
                <w:rFonts w:ascii="Calibri" w:eastAsia="Calibri" w:hAnsi="Calibri" w:cs="Calibri"/>
                <w:bCs/>
              </w:rPr>
              <w:t>KPK</w:t>
            </w:r>
            <w:proofErr w:type="spellEnd"/>
            <w:r w:rsidRPr="0086454D"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 w:rsidRPr="0086454D">
              <w:rPr>
                <w:rFonts w:ascii="Calibri" w:eastAsia="Calibri" w:hAnsi="Calibri" w:cs="Calibri"/>
                <w:bCs/>
              </w:rPr>
              <w:t>PSRA-AJK</w:t>
            </w:r>
            <w:proofErr w:type="spellEnd"/>
            <w:r w:rsidRPr="0086454D">
              <w:rPr>
                <w:rFonts w:ascii="Calibri" w:eastAsia="Calibri" w:hAnsi="Calibri" w:cs="Calibri"/>
                <w:bCs/>
              </w:rPr>
              <w:t xml:space="preserve">, </w:t>
            </w:r>
            <w:proofErr w:type="spellStart"/>
            <w:r w:rsidRPr="0086454D">
              <w:rPr>
                <w:rFonts w:ascii="Calibri" w:eastAsia="Calibri" w:hAnsi="Calibri" w:cs="Calibri"/>
                <w:bCs/>
              </w:rPr>
              <w:t>PSRA-Balochitan</w:t>
            </w:r>
            <w:proofErr w:type="spellEnd"/>
            <w:r w:rsidRPr="0086454D">
              <w:rPr>
                <w:rFonts w:ascii="Calibri" w:eastAsia="Calibri" w:hAnsi="Calibri" w:cs="Calibri"/>
                <w:bCs/>
              </w:rPr>
              <w:t xml:space="preserve"> Registering Education Authority </w:t>
            </w:r>
          </w:p>
          <w:p w:rsidR="0086454D" w:rsidRPr="0086454D" w:rsidRDefault="0086454D" w:rsidP="0092036D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ind w:left="360" w:right="14"/>
              <w:jc w:val="both"/>
              <w:rPr>
                <w:rFonts w:ascii="Calibri" w:hAnsi="Calibri" w:cs="Calibri"/>
                <w:bCs/>
              </w:rPr>
            </w:pPr>
            <w:r w:rsidRPr="0086454D">
              <w:rPr>
                <w:rFonts w:ascii="Calibri" w:hAnsi="Calibri" w:cs="Calibri"/>
                <w:bCs/>
              </w:rPr>
              <w:t xml:space="preserve">Map of the building </w:t>
            </w:r>
          </w:p>
          <w:p w:rsidR="0086454D" w:rsidRPr="0086454D" w:rsidRDefault="0086454D" w:rsidP="0092036D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ind w:left="360" w:right="14"/>
              <w:jc w:val="both"/>
              <w:rPr>
                <w:rFonts w:cstheme="minorHAnsi"/>
                <w:color w:val="000000"/>
              </w:rPr>
            </w:pPr>
            <w:r w:rsidRPr="0086454D">
              <w:rPr>
                <w:rFonts w:ascii="Calibri" w:hAnsi="Calibri" w:cs="Calibri"/>
                <w:bCs/>
              </w:rPr>
              <w:t xml:space="preserve">Lease agreement /deed of ownership </w:t>
            </w:r>
          </w:p>
          <w:p w:rsidR="0086454D" w:rsidRPr="0086454D" w:rsidRDefault="0086454D" w:rsidP="0092036D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ind w:left="360" w:right="14"/>
              <w:jc w:val="both"/>
              <w:rPr>
                <w:rFonts w:cstheme="minorHAnsi"/>
                <w:color w:val="000000"/>
              </w:rPr>
            </w:pPr>
            <w:r w:rsidRPr="0086454D">
              <w:rPr>
                <w:rFonts w:cstheme="minorHAnsi"/>
                <w:color w:val="000000"/>
              </w:rPr>
              <w:t xml:space="preserve">The institution seeking affiliation for Medical Technology group will be located within the premises of Govt. hospital or an institution from private sector, having collaboration with a private hospital of at least 50 beds, located within radius of 10 km in big cities and 5km in small city/town, subject to provision of training facilities and restriction of number of students in line with existing /required facilities/infrastructure /laboratories and qualified faculty as per rules. The hospital attached with the institution for training of the students in affiliated technology subjects must be recognized /registered with the concerned health regulatory department/body of the government and that there should not be any duplication in case of hospitals’ </w:t>
            </w:r>
            <w:proofErr w:type="spellStart"/>
            <w:r w:rsidRPr="0086454D">
              <w:rPr>
                <w:rFonts w:cstheme="minorHAnsi"/>
                <w:color w:val="000000"/>
              </w:rPr>
              <w:t>MoU</w:t>
            </w:r>
            <w:proofErr w:type="spellEnd"/>
            <w:r w:rsidRPr="0086454D">
              <w:rPr>
                <w:rFonts w:cstheme="minorHAnsi"/>
                <w:color w:val="000000"/>
              </w:rPr>
              <w:t xml:space="preserve"> i.e. one hospital shall not be allowed to train the students of two institutions. </w:t>
            </w:r>
          </w:p>
        </w:tc>
      </w:tr>
      <w:tr w:rsidR="0086454D" w:rsidRPr="0086454D" w:rsidTr="00CF5ED0">
        <w:trPr>
          <w:trHeight w:val="43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92036D">
            <w:pPr>
              <w:rPr>
                <w:bCs/>
              </w:rPr>
            </w:pPr>
            <w:r w:rsidRPr="0086454D">
              <w:rPr>
                <w:bCs/>
              </w:rPr>
              <w:t>Inspection fee for Private Institutions  within Islamabad &amp; Rawalpindi districts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Rs20000/-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Rs20000/-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$ 1500/-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$ 1500/-</w:t>
            </w:r>
          </w:p>
        </w:tc>
        <w:tc>
          <w:tcPr>
            <w:tcW w:w="6966" w:type="dxa"/>
            <w:vMerge/>
          </w:tcPr>
          <w:p w:rsidR="0086454D" w:rsidRPr="0086454D" w:rsidRDefault="0086454D" w:rsidP="0092036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6454D" w:rsidRPr="0086454D" w:rsidTr="00CF5ED0">
        <w:trPr>
          <w:trHeight w:val="43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92036D">
            <w:pPr>
              <w:rPr>
                <w:bCs/>
              </w:rPr>
            </w:pPr>
            <w:r w:rsidRPr="0086454D">
              <w:rPr>
                <w:bCs/>
              </w:rPr>
              <w:t>Inspection fee for Private Institutions  other than  Islamabad &amp; Rawalpindi districts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Rs40000/-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Rs40000/-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$ 1500/-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$ 1500/-</w:t>
            </w:r>
          </w:p>
        </w:tc>
        <w:tc>
          <w:tcPr>
            <w:tcW w:w="6966" w:type="dxa"/>
            <w:vMerge/>
          </w:tcPr>
          <w:p w:rsidR="0086454D" w:rsidRPr="0086454D" w:rsidRDefault="0086454D" w:rsidP="0092036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6454D" w:rsidRPr="0086454D" w:rsidTr="00CF5ED0">
        <w:trPr>
          <w:trHeight w:val="43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AE6053" w:rsidP="0092036D">
            <w:pPr>
              <w:rPr>
                <w:bCs/>
              </w:rPr>
            </w:pPr>
            <w:r>
              <w:rPr>
                <w:bCs/>
              </w:rPr>
              <w:t xml:space="preserve">Inspection fee for Federal Government </w:t>
            </w:r>
            <w:r w:rsidR="0038570D">
              <w:rPr>
                <w:bCs/>
              </w:rPr>
              <w:t xml:space="preserve"> </w:t>
            </w:r>
            <w:r w:rsidR="0086454D" w:rsidRPr="0086454D">
              <w:rPr>
                <w:bCs/>
              </w:rPr>
              <w:t xml:space="preserve">institutions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CF5ED0">
            <w:pPr>
              <w:ind w:right="-97"/>
              <w:jc w:val="right"/>
              <w:rPr>
                <w:bCs/>
              </w:rPr>
            </w:pPr>
            <w:proofErr w:type="spellStart"/>
            <w:r w:rsidRPr="0086454D">
              <w:rPr>
                <w:bCs/>
              </w:rPr>
              <w:t>Rs</w:t>
            </w:r>
            <w:proofErr w:type="spellEnd"/>
            <w:r w:rsidRPr="0086454D">
              <w:rPr>
                <w:bCs/>
              </w:rPr>
              <w:t xml:space="preserve"> 15000/-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proofErr w:type="spellStart"/>
            <w:r w:rsidRPr="0086454D">
              <w:rPr>
                <w:bCs/>
              </w:rPr>
              <w:t>Rs</w:t>
            </w:r>
            <w:proofErr w:type="spellEnd"/>
            <w:r w:rsidRPr="0086454D">
              <w:rPr>
                <w:bCs/>
              </w:rPr>
              <w:t xml:space="preserve"> 15000/-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$ 1500/-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$ 1500/-</w:t>
            </w:r>
          </w:p>
        </w:tc>
        <w:tc>
          <w:tcPr>
            <w:tcW w:w="6966" w:type="dxa"/>
            <w:vMerge/>
          </w:tcPr>
          <w:p w:rsidR="0086454D" w:rsidRPr="0086454D" w:rsidRDefault="0086454D" w:rsidP="0092036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6454D" w:rsidRPr="0086454D" w:rsidTr="00CF5ED0">
        <w:trPr>
          <w:trHeight w:val="43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92036D">
            <w:pPr>
              <w:rPr>
                <w:bCs/>
              </w:rPr>
            </w:pPr>
            <w:r w:rsidRPr="0086454D">
              <w:rPr>
                <w:bCs/>
              </w:rPr>
              <w:t xml:space="preserve">Fresh Group/Subject affiliation for Private Institutions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proofErr w:type="spellStart"/>
            <w:r w:rsidRPr="0086454D">
              <w:rPr>
                <w:bCs/>
              </w:rPr>
              <w:t>Rs</w:t>
            </w:r>
            <w:proofErr w:type="spellEnd"/>
            <w:r w:rsidRPr="0086454D">
              <w:rPr>
                <w:bCs/>
              </w:rPr>
              <w:t xml:space="preserve"> 5000/-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proofErr w:type="spellStart"/>
            <w:r w:rsidRPr="0086454D">
              <w:rPr>
                <w:bCs/>
              </w:rPr>
              <w:t>Rs</w:t>
            </w:r>
            <w:proofErr w:type="spellEnd"/>
            <w:r w:rsidRPr="0086454D">
              <w:rPr>
                <w:bCs/>
              </w:rPr>
              <w:t xml:space="preserve"> 5000/-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 xml:space="preserve">US $ 1000/- per group </w:t>
            </w:r>
          </w:p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$ 50/- per subject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 xml:space="preserve">US $ 1200/- per group </w:t>
            </w:r>
          </w:p>
          <w:p w:rsidR="0086454D" w:rsidRPr="0086454D" w:rsidRDefault="0086454D" w:rsidP="0086454D">
            <w:pPr>
              <w:jc w:val="right"/>
              <w:rPr>
                <w:bCs/>
              </w:rPr>
            </w:pPr>
            <w:r w:rsidRPr="0086454D">
              <w:rPr>
                <w:bCs/>
              </w:rPr>
              <w:t>US $ 100/- per  subject</w:t>
            </w:r>
          </w:p>
        </w:tc>
        <w:tc>
          <w:tcPr>
            <w:tcW w:w="6966" w:type="dxa"/>
            <w:vMerge/>
          </w:tcPr>
          <w:p w:rsidR="0086454D" w:rsidRPr="0086454D" w:rsidRDefault="0086454D" w:rsidP="0092036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6454D" w:rsidRPr="0086454D" w:rsidTr="00CF5ED0">
        <w:trPr>
          <w:trHeight w:val="576"/>
        </w:trPr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86454D" w:rsidRPr="0086454D" w:rsidRDefault="0086454D" w:rsidP="0092036D">
            <w:pPr>
              <w:pStyle w:val="NoSpacing"/>
            </w:pPr>
            <w:r w:rsidRPr="0086454D">
              <w:t>Fresh Group/Subject affiliation for Federal Government  Institutions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pStyle w:val="NoSpacing"/>
              <w:jc w:val="right"/>
            </w:pPr>
            <w:r w:rsidRPr="0086454D">
              <w:t>Rs3000/-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pStyle w:val="NoSpacing"/>
              <w:jc w:val="right"/>
            </w:pPr>
            <w:r w:rsidRPr="0086454D">
              <w:t>Rs3000/-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pStyle w:val="NoSpacing"/>
              <w:jc w:val="right"/>
            </w:pPr>
            <w:r w:rsidRPr="0086454D">
              <w:t xml:space="preserve">US $ 1000/- per group </w:t>
            </w:r>
          </w:p>
          <w:p w:rsidR="0086454D" w:rsidRPr="0086454D" w:rsidRDefault="0086454D" w:rsidP="0086454D">
            <w:pPr>
              <w:pStyle w:val="NoSpacing"/>
              <w:jc w:val="right"/>
            </w:pPr>
            <w:r w:rsidRPr="0086454D">
              <w:t>US $ 50/- per subject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54D" w:rsidRPr="0086454D" w:rsidRDefault="0086454D" w:rsidP="0086454D">
            <w:pPr>
              <w:pStyle w:val="NoSpacing"/>
              <w:jc w:val="right"/>
            </w:pPr>
            <w:r w:rsidRPr="0086454D">
              <w:t xml:space="preserve">US $ 1200/- per group </w:t>
            </w:r>
          </w:p>
          <w:p w:rsidR="0086454D" w:rsidRPr="0086454D" w:rsidRDefault="0086454D" w:rsidP="0086454D">
            <w:pPr>
              <w:pStyle w:val="NoSpacing"/>
              <w:jc w:val="right"/>
            </w:pPr>
            <w:r w:rsidRPr="0086454D">
              <w:t>US $ 100/- per  subject</w:t>
            </w:r>
          </w:p>
        </w:tc>
        <w:tc>
          <w:tcPr>
            <w:tcW w:w="6966" w:type="dxa"/>
            <w:vMerge/>
          </w:tcPr>
          <w:p w:rsidR="0086454D" w:rsidRPr="0086454D" w:rsidRDefault="0086454D" w:rsidP="0092036D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6454D" w:rsidRPr="0086454D" w:rsidTr="00CF5ED0">
        <w:trPr>
          <w:trHeight w:val="432"/>
        </w:trPr>
        <w:tc>
          <w:tcPr>
            <w:tcW w:w="3888" w:type="dxa"/>
          </w:tcPr>
          <w:p w:rsidR="0086454D" w:rsidRPr="0086454D" w:rsidRDefault="0086454D" w:rsidP="0092036D">
            <w:pPr>
              <w:pStyle w:val="ListParagraph"/>
              <w:ind w:left="0"/>
              <w:rPr>
                <w:rFonts w:cstheme="minorHAnsi"/>
              </w:rPr>
            </w:pPr>
            <w:r w:rsidRPr="0086454D">
              <w:rPr>
                <w:rFonts w:cstheme="minorHAnsi"/>
              </w:rPr>
              <w:t xml:space="preserve">Security fee for private Institutions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rFonts w:cstheme="minorHAnsi"/>
              </w:rPr>
            </w:pPr>
            <w:r w:rsidRPr="0086454D">
              <w:rPr>
                <w:rFonts w:cstheme="minorHAnsi"/>
              </w:rPr>
              <w:t>Rs35000/-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rFonts w:cstheme="minorHAnsi"/>
              </w:rPr>
            </w:pPr>
            <w:r w:rsidRPr="0086454D">
              <w:rPr>
                <w:rFonts w:cstheme="minorHAnsi"/>
              </w:rPr>
              <w:t>Rs55000/-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rFonts w:cstheme="minorHAnsi"/>
              </w:rPr>
            </w:pPr>
            <w:r w:rsidRPr="0086454D">
              <w:rPr>
                <w:rFonts w:cstheme="minorHAnsi"/>
              </w:rPr>
              <w:t>Rs35000/-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86454D" w:rsidRPr="0086454D" w:rsidRDefault="0086454D" w:rsidP="0086454D">
            <w:pPr>
              <w:jc w:val="right"/>
              <w:rPr>
                <w:rFonts w:cstheme="minorHAnsi"/>
              </w:rPr>
            </w:pPr>
            <w:r w:rsidRPr="0086454D">
              <w:rPr>
                <w:rFonts w:cstheme="minorHAnsi"/>
              </w:rPr>
              <w:t>Rs55000/-</w:t>
            </w:r>
          </w:p>
        </w:tc>
        <w:tc>
          <w:tcPr>
            <w:tcW w:w="6966" w:type="dxa"/>
            <w:vMerge/>
          </w:tcPr>
          <w:p w:rsidR="0086454D" w:rsidRPr="0086454D" w:rsidRDefault="0086454D" w:rsidP="0092036D">
            <w:pPr>
              <w:rPr>
                <w:rFonts w:cstheme="minorHAnsi"/>
              </w:rPr>
            </w:pPr>
          </w:p>
        </w:tc>
      </w:tr>
      <w:tr w:rsidR="00A95B86" w:rsidRPr="0086454D" w:rsidTr="00CF5ED0">
        <w:tc>
          <w:tcPr>
            <w:tcW w:w="3888" w:type="dxa"/>
          </w:tcPr>
          <w:p w:rsidR="00A95B86" w:rsidRPr="0086454D" w:rsidRDefault="00A95B86" w:rsidP="0092036D">
            <w:pPr>
              <w:tabs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ind w:right="14"/>
              <w:jc w:val="both"/>
              <w:rPr>
                <w:rFonts w:ascii="Calibri" w:eastAsia="Calibri" w:hAnsi="Calibri" w:cs="Calibri"/>
                <w:bCs/>
              </w:rPr>
            </w:pPr>
            <w:r w:rsidRPr="0086454D">
              <w:rPr>
                <w:rFonts w:ascii="Calibri" w:eastAsia="Calibri" w:hAnsi="Calibri" w:cs="Calibri"/>
                <w:bCs/>
              </w:rPr>
              <w:t>Schedule of Fresh affiliation cases</w:t>
            </w:r>
          </w:p>
        </w:tc>
        <w:tc>
          <w:tcPr>
            <w:tcW w:w="12366" w:type="dxa"/>
            <w:gridSpan w:val="5"/>
          </w:tcPr>
          <w:p w:rsidR="00A95B86" w:rsidRPr="0086454D" w:rsidRDefault="00A95B86" w:rsidP="0092036D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  <w:tab w:val="left" w:pos="1620"/>
                <w:tab w:val="left" w:pos="2250"/>
                <w:tab w:val="left" w:pos="2700"/>
                <w:tab w:val="left" w:pos="3240"/>
              </w:tabs>
              <w:ind w:left="353" w:right="14"/>
              <w:jc w:val="both"/>
              <w:rPr>
                <w:rFonts w:ascii="Calibri" w:eastAsia="Calibri" w:hAnsi="Calibri" w:cs="Calibri"/>
                <w:bCs/>
              </w:rPr>
            </w:pPr>
            <w:r w:rsidRPr="0086454D">
              <w:rPr>
                <w:rFonts w:ascii="Calibri" w:eastAsia="Calibri" w:hAnsi="Calibri" w:cs="Calibri"/>
                <w:bCs/>
              </w:rPr>
              <w:t xml:space="preserve">Up-to </w:t>
            </w:r>
            <w:r w:rsidR="00803817">
              <w:rPr>
                <w:rFonts w:ascii="Calibri" w:eastAsia="Calibri" w:hAnsi="Calibri" w:cs="Calibri"/>
                <w:b/>
              </w:rPr>
              <w:t>31</w:t>
            </w:r>
            <w:r w:rsidR="00803817" w:rsidRPr="00803817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="00803817">
              <w:rPr>
                <w:rFonts w:ascii="Calibri" w:eastAsia="Calibri" w:hAnsi="Calibri" w:cs="Calibri"/>
                <w:b/>
              </w:rPr>
              <w:t xml:space="preserve"> </w:t>
            </w:r>
            <w:r w:rsidRPr="0086454D">
              <w:rPr>
                <w:rFonts w:ascii="Calibri" w:eastAsia="Calibri" w:hAnsi="Calibri" w:cs="Calibri"/>
                <w:b/>
              </w:rPr>
              <w:t xml:space="preserve">December at </w:t>
            </w:r>
            <w:proofErr w:type="spellStart"/>
            <w:r w:rsidRPr="0086454D">
              <w:rPr>
                <w:rFonts w:ascii="Calibri" w:eastAsia="Calibri" w:hAnsi="Calibri" w:cs="Calibri"/>
                <w:b/>
              </w:rPr>
              <w:t>SSC</w:t>
            </w:r>
            <w:proofErr w:type="spellEnd"/>
            <w:r w:rsidRPr="0086454D">
              <w:rPr>
                <w:rFonts w:ascii="Calibri" w:eastAsia="Calibri" w:hAnsi="Calibri" w:cs="Calibri"/>
                <w:b/>
              </w:rPr>
              <w:t xml:space="preserve"> level</w:t>
            </w:r>
            <w:r w:rsidRPr="0086454D">
              <w:rPr>
                <w:rFonts w:ascii="Calibri" w:eastAsia="Calibri" w:hAnsi="Calibri" w:cs="Calibri"/>
                <w:bCs/>
              </w:rPr>
              <w:t xml:space="preserve"> each year </w:t>
            </w:r>
          </w:p>
          <w:p w:rsidR="00A95B86" w:rsidRPr="0086454D" w:rsidRDefault="00A95B86" w:rsidP="0092036D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  <w:tab w:val="left" w:pos="1620"/>
                <w:tab w:val="left" w:pos="2250"/>
                <w:tab w:val="left" w:pos="2700"/>
                <w:tab w:val="left" w:pos="3240"/>
              </w:tabs>
              <w:ind w:left="353" w:right="14"/>
              <w:jc w:val="both"/>
              <w:rPr>
                <w:rFonts w:ascii="Calibri" w:eastAsia="Calibri" w:hAnsi="Calibri" w:cs="Calibri"/>
                <w:bCs/>
              </w:rPr>
            </w:pPr>
            <w:r w:rsidRPr="0086454D">
              <w:rPr>
                <w:rFonts w:ascii="Calibri" w:eastAsia="Calibri" w:hAnsi="Calibri" w:cs="Calibri"/>
                <w:bCs/>
              </w:rPr>
              <w:t xml:space="preserve">Up-to </w:t>
            </w:r>
            <w:r w:rsidRPr="0086454D">
              <w:rPr>
                <w:rFonts w:ascii="Calibri" w:eastAsia="Calibri" w:hAnsi="Calibri" w:cs="Calibri"/>
                <w:b/>
              </w:rPr>
              <w:t xml:space="preserve">30th April at </w:t>
            </w:r>
            <w:proofErr w:type="spellStart"/>
            <w:r w:rsidRPr="0086454D">
              <w:rPr>
                <w:rFonts w:ascii="Calibri" w:eastAsia="Calibri" w:hAnsi="Calibri" w:cs="Calibri"/>
                <w:b/>
              </w:rPr>
              <w:t>HSSC</w:t>
            </w:r>
            <w:proofErr w:type="spellEnd"/>
            <w:r w:rsidRPr="0086454D">
              <w:rPr>
                <w:rFonts w:ascii="Calibri" w:eastAsia="Calibri" w:hAnsi="Calibri" w:cs="Calibri"/>
                <w:b/>
              </w:rPr>
              <w:t xml:space="preserve"> level</w:t>
            </w:r>
            <w:r w:rsidRPr="0086454D">
              <w:rPr>
                <w:rFonts w:ascii="Calibri" w:eastAsia="Calibri" w:hAnsi="Calibri" w:cs="Calibri"/>
                <w:bCs/>
              </w:rPr>
              <w:t xml:space="preserve">  each  year </w:t>
            </w:r>
          </w:p>
          <w:p w:rsidR="00A95B86" w:rsidRPr="0086454D" w:rsidRDefault="00A95B86" w:rsidP="00803817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  <w:tab w:val="left" w:pos="1620"/>
                <w:tab w:val="left" w:pos="2250"/>
                <w:tab w:val="left" w:pos="2700"/>
                <w:tab w:val="left" w:pos="3240"/>
              </w:tabs>
              <w:ind w:left="353" w:right="14"/>
              <w:jc w:val="both"/>
              <w:rPr>
                <w:rFonts w:ascii="Calibri" w:eastAsia="Calibri" w:hAnsi="Calibri" w:cs="Calibri"/>
                <w:bCs/>
              </w:rPr>
            </w:pPr>
            <w:r w:rsidRPr="0086454D">
              <w:rPr>
                <w:rFonts w:ascii="Calibri" w:eastAsia="Calibri" w:hAnsi="Calibri" w:cs="Calibri"/>
                <w:bCs/>
              </w:rPr>
              <w:t xml:space="preserve">After due dates, the case shall be entertained on submission of monthly surcharge fee </w:t>
            </w:r>
            <w:r w:rsidRPr="0086454D">
              <w:rPr>
                <w:rFonts w:ascii="Calibri" w:eastAsia="Calibri" w:hAnsi="Calibri" w:cs="Calibri"/>
                <w:b/>
              </w:rPr>
              <w:t xml:space="preserve">@ Rs.1000/- at </w:t>
            </w:r>
            <w:proofErr w:type="spellStart"/>
            <w:r w:rsidRPr="0086454D">
              <w:rPr>
                <w:rFonts w:ascii="Calibri" w:eastAsia="Calibri" w:hAnsi="Calibri" w:cs="Calibri"/>
                <w:b/>
              </w:rPr>
              <w:t>SSC</w:t>
            </w:r>
            <w:proofErr w:type="spellEnd"/>
            <w:r w:rsidRPr="0086454D">
              <w:rPr>
                <w:rFonts w:ascii="Calibri" w:eastAsia="Calibri" w:hAnsi="Calibri" w:cs="Calibri"/>
                <w:b/>
              </w:rPr>
              <w:t xml:space="preserve"> level up-to 31</w:t>
            </w:r>
            <w:r w:rsidRPr="0086454D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Pr="0086454D">
              <w:rPr>
                <w:rFonts w:ascii="Calibri" w:eastAsia="Calibri" w:hAnsi="Calibri" w:cs="Calibri"/>
                <w:b/>
              </w:rPr>
              <w:t xml:space="preserve"> </w:t>
            </w:r>
            <w:r w:rsidR="00803817">
              <w:rPr>
                <w:rFonts w:ascii="Calibri" w:eastAsia="Calibri" w:hAnsi="Calibri" w:cs="Calibri"/>
                <w:b/>
              </w:rPr>
              <w:t xml:space="preserve">March </w:t>
            </w:r>
            <w:r w:rsidRPr="0086454D">
              <w:rPr>
                <w:rFonts w:ascii="Calibri" w:eastAsia="Calibri" w:hAnsi="Calibri" w:cs="Calibri"/>
                <w:bCs/>
              </w:rPr>
              <w:t>and</w:t>
            </w:r>
            <w:r w:rsidRPr="0086454D">
              <w:rPr>
                <w:rFonts w:ascii="Calibri" w:eastAsia="Calibri" w:hAnsi="Calibri" w:cs="Calibri"/>
                <w:b/>
              </w:rPr>
              <w:t xml:space="preserve"> Rs.2000/- at </w:t>
            </w:r>
            <w:proofErr w:type="spellStart"/>
            <w:r w:rsidRPr="0086454D">
              <w:rPr>
                <w:rFonts w:ascii="Calibri" w:eastAsia="Calibri" w:hAnsi="Calibri" w:cs="Calibri"/>
                <w:b/>
              </w:rPr>
              <w:t>HSSC</w:t>
            </w:r>
            <w:proofErr w:type="spellEnd"/>
            <w:r w:rsidRPr="0086454D">
              <w:rPr>
                <w:rFonts w:ascii="Calibri" w:eastAsia="Calibri" w:hAnsi="Calibri" w:cs="Calibri"/>
                <w:b/>
              </w:rPr>
              <w:t xml:space="preserve"> level up-to 3</w:t>
            </w:r>
            <w:r w:rsidR="00803817">
              <w:rPr>
                <w:rFonts w:ascii="Calibri" w:eastAsia="Calibri" w:hAnsi="Calibri" w:cs="Calibri"/>
                <w:b/>
              </w:rPr>
              <w:t>0</w:t>
            </w:r>
            <w:r w:rsidR="00803817" w:rsidRPr="00803817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="00803817">
              <w:rPr>
                <w:rFonts w:ascii="Calibri" w:eastAsia="Calibri" w:hAnsi="Calibri" w:cs="Calibri"/>
                <w:b/>
              </w:rPr>
              <w:t xml:space="preserve"> June</w:t>
            </w:r>
            <w:r w:rsidRPr="0086454D">
              <w:rPr>
                <w:rFonts w:ascii="Calibri" w:eastAsia="Calibri" w:hAnsi="Calibri" w:cs="Calibri"/>
                <w:b/>
              </w:rPr>
              <w:t xml:space="preserve"> each year</w:t>
            </w:r>
            <w:r w:rsidRPr="0086454D">
              <w:rPr>
                <w:rFonts w:ascii="Calibri" w:eastAsia="Calibri" w:hAnsi="Calibri" w:cs="Calibri"/>
                <w:bCs/>
              </w:rPr>
              <w:t xml:space="preserve">. </w:t>
            </w:r>
          </w:p>
        </w:tc>
      </w:tr>
    </w:tbl>
    <w:p w:rsidR="003B7F4D" w:rsidRDefault="003B7F4D" w:rsidP="0092036D">
      <w:pPr>
        <w:tabs>
          <w:tab w:val="left" w:pos="540"/>
          <w:tab w:val="left" w:pos="1080"/>
          <w:tab w:val="left" w:pos="1620"/>
          <w:tab w:val="left" w:pos="2250"/>
          <w:tab w:val="left" w:pos="2700"/>
          <w:tab w:val="left" w:pos="3240"/>
        </w:tabs>
        <w:spacing w:after="0"/>
        <w:jc w:val="both"/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Default="003B7F4D">
      <w:pPr>
        <w:rPr>
          <w:rFonts w:ascii="Calibri" w:hAnsi="Calibri" w:cs="Calibri"/>
          <w:b/>
          <w:sz w:val="8"/>
          <w:szCs w:val="8"/>
          <w:lang w:val="en-GB"/>
        </w:rPr>
      </w:pPr>
    </w:p>
    <w:p w:rsidR="003B7F4D" w:rsidRPr="0086594C" w:rsidRDefault="003B7F4D" w:rsidP="003B7F4D">
      <w:pPr>
        <w:jc w:val="center"/>
        <w:rPr>
          <w:b/>
          <w:sz w:val="28"/>
          <w:u w:val="single"/>
        </w:rPr>
      </w:pPr>
      <w:r w:rsidRPr="0086594C">
        <w:rPr>
          <w:b/>
          <w:sz w:val="28"/>
          <w:u w:val="single"/>
        </w:rPr>
        <w:lastRenderedPageBreak/>
        <w:t xml:space="preserve">INFRASTRUCTURE FOR AFFILIATION OF </w:t>
      </w:r>
      <w:proofErr w:type="spellStart"/>
      <w:r w:rsidRPr="0086594C">
        <w:rPr>
          <w:b/>
          <w:sz w:val="28"/>
          <w:u w:val="single"/>
        </w:rPr>
        <w:t>MATRIC</w:t>
      </w:r>
      <w:proofErr w:type="spellEnd"/>
      <w:r w:rsidRPr="0086594C">
        <w:rPr>
          <w:b/>
          <w:sz w:val="28"/>
          <w:u w:val="single"/>
        </w:rPr>
        <w:t>-TECH</w:t>
      </w:r>
    </w:p>
    <w:tbl>
      <w:tblPr>
        <w:tblStyle w:val="TableGrid"/>
        <w:tblW w:w="16056" w:type="dxa"/>
        <w:tblLook w:val="04A0"/>
      </w:tblPr>
      <w:tblGrid>
        <w:gridCol w:w="5598"/>
        <w:gridCol w:w="1440"/>
        <w:gridCol w:w="9018"/>
      </w:tblGrid>
      <w:tr w:rsidR="003B7F4D" w:rsidRPr="003B7F4D" w:rsidTr="00E61E15">
        <w:trPr>
          <w:trHeight w:val="288"/>
        </w:trPr>
        <w:tc>
          <w:tcPr>
            <w:tcW w:w="7038" w:type="dxa"/>
            <w:gridSpan w:val="2"/>
            <w:vAlign w:val="center"/>
          </w:tcPr>
          <w:p w:rsidR="003B7F4D" w:rsidRPr="002127B5" w:rsidRDefault="003B7F4D" w:rsidP="003A75BA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FEE DETAIL </w:t>
            </w:r>
          </w:p>
        </w:tc>
        <w:tc>
          <w:tcPr>
            <w:tcW w:w="9018" w:type="dxa"/>
          </w:tcPr>
          <w:p w:rsidR="003B7F4D" w:rsidRPr="003B7F4D" w:rsidRDefault="003B7F4D" w:rsidP="0092036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127B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INFRASTRUCTURE DETAILS</w:t>
            </w: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2127B5" w:rsidRDefault="003B7F4D" w:rsidP="003A75BA">
            <w:pPr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vAlign w:val="center"/>
          </w:tcPr>
          <w:p w:rsidR="003B7F4D" w:rsidRPr="002127B5" w:rsidRDefault="003B7F4D" w:rsidP="003A75BA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Rates </w:t>
            </w:r>
            <w:r w:rsidRPr="002127B5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proofErr w:type="spellStart"/>
            <w:r w:rsidRPr="002127B5">
              <w:rPr>
                <w:rFonts w:ascii="Calibri" w:hAnsi="Calibri" w:cs="Calibri"/>
                <w:b/>
                <w:sz w:val="24"/>
                <w:szCs w:val="24"/>
              </w:rPr>
              <w:t>Rs</w:t>
            </w:r>
            <w:proofErr w:type="spellEnd"/>
            <w:r w:rsidRPr="002127B5">
              <w:rPr>
                <w:rFonts w:ascii="Calibri" w:hAnsi="Calibri" w:cs="Calibri"/>
                <w:b/>
                <w:sz w:val="24"/>
                <w:szCs w:val="24"/>
              </w:rPr>
              <w:t>.)</w:t>
            </w:r>
          </w:p>
        </w:tc>
        <w:tc>
          <w:tcPr>
            <w:tcW w:w="9018" w:type="dxa"/>
            <w:vMerge w:val="restart"/>
          </w:tcPr>
          <w:p w:rsidR="0086594C" w:rsidRDefault="0086594C" w:rsidP="0086594C">
            <w:pPr>
              <w:pStyle w:val="ListParagraph"/>
              <w:ind w:left="0" w:firstLine="648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Affiliation shall be granted to the institution which is established in a building having a land of appropriate area along</w:t>
            </w:r>
            <w:r w:rsidR="00B146D7">
              <w:rPr>
                <w:lang w:val="en-GB"/>
              </w:rPr>
              <w:t xml:space="preserve"> </w:t>
            </w:r>
            <w:r w:rsidRPr="00942E4B">
              <w:rPr>
                <w:lang w:val="en-GB"/>
              </w:rPr>
              <w:t>with following accommodation, as well.</w:t>
            </w:r>
          </w:p>
          <w:p w:rsidR="0086594C" w:rsidRPr="00942E4B" w:rsidRDefault="0086594C" w:rsidP="0086594C">
            <w:pPr>
              <w:pStyle w:val="ListParagraph"/>
              <w:ind w:left="0" w:firstLine="648"/>
              <w:jc w:val="both"/>
              <w:rPr>
                <w:lang w:val="en-GB"/>
              </w:rPr>
            </w:pPr>
          </w:p>
          <w:p w:rsidR="003B7F4D" w:rsidRPr="002127B5" w:rsidRDefault="003B7F4D" w:rsidP="003B7F4D">
            <w:pPr>
              <w:pStyle w:val="ListParagraph"/>
              <w:spacing w:line="276" w:lineRule="auto"/>
              <w:ind w:left="0" w:firstLine="648"/>
              <w:jc w:val="both"/>
              <w:rPr>
                <w:rFonts w:ascii="Calibri" w:hAnsi="Calibri" w:cs="Calibri"/>
                <w:sz w:val="8"/>
                <w:szCs w:val="24"/>
                <w:lang w:val="en-GB"/>
              </w:rPr>
            </w:pP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</w:pPr>
            <w:bookmarkStart w:id="0" w:name="_GoBack"/>
            <w:bookmarkEnd w:id="0"/>
            <w:r w:rsidRPr="00942E4B">
              <w:rPr>
                <w:lang w:val="en-GB"/>
              </w:rPr>
              <w:t xml:space="preserve">Minimum size of class rooms shall be according to the strength of students at least 10 </w:t>
            </w:r>
            <w:proofErr w:type="spellStart"/>
            <w:r w:rsidRPr="00942E4B">
              <w:rPr>
                <w:lang w:val="en-GB"/>
              </w:rPr>
              <w:t>sq.ft</w:t>
            </w:r>
            <w:proofErr w:type="spellEnd"/>
            <w:r w:rsidRPr="00942E4B">
              <w:rPr>
                <w:lang w:val="en-GB"/>
              </w:rPr>
              <w:t xml:space="preserve">. </w:t>
            </w:r>
            <w:proofErr w:type="gramStart"/>
            <w:r w:rsidRPr="00942E4B">
              <w:rPr>
                <w:lang w:val="en-GB"/>
              </w:rPr>
              <w:t>per</w:t>
            </w:r>
            <w:proofErr w:type="gramEnd"/>
            <w:r w:rsidRPr="00942E4B">
              <w:rPr>
                <w:lang w:val="en-GB"/>
              </w:rPr>
              <w:t xml:space="preserve"> student must be made available in class room.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Separate Class rooms for each group offered by institute are required at </w:t>
            </w:r>
            <w:proofErr w:type="spellStart"/>
            <w:r w:rsidRPr="00942E4B">
              <w:rPr>
                <w:lang w:val="en-GB"/>
              </w:rPr>
              <w:t>SSC</w:t>
            </w:r>
            <w:proofErr w:type="spellEnd"/>
            <w:r w:rsidRPr="00942E4B">
              <w:rPr>
                <w:lang w:val="en-GB"/>
              </w:rPr>
              <w:t xml:space="preserve"> &amp; </w:t>
            </w:r>
            <w:proofErr w:type="spellStart"/>
            <w:r w:rsidRPr="00942E4B">
              <w:rPr>
                <w:lang w:val="en-GB"/>
              </w:rPr>
              <w:t>HSSC</w:t>
            </w:r>
            <w:proofErr w:type="spellEnd"/>
            <w:r w:rsidRPr="00942E4B">
              <w:rPr>
                <w:lang w:val="en-GB"/>
              </w:rPr>
              <w:t xml:space="preserve"> level. 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One spacious laboratory is acceptable for all disciplines of Science. Laboratory should be well equipped. Schedule and list of practical shall be displayed on charts. Labelled models/charts shall also be made available in Science Labs. 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Computer laboratories shall be established in case institute is seeking affiliation in Computer Science subject. 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For time gap arrangements the institute can start the Practical program in the Labs of other institutes/workshops and same should be made available within two years from the date of affiliation.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Library would be established with worth reading books.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Staff rooms shall be </w:t>
            </w:r>
            <w:proofErr w:type="gramStart"/>
            <w:r w:rsidRPr="00942E4B">
              <w:rPr>
                <w:lang w:val="en-GB"/>
              </w:rPr>
              <w:t>arranged/established</w:t>
            </w:r>
            <w:proofErr w:type="gramEnd"/>
            <w:r w:rsidRPr="00942E4B">
              <w:rPr>
                <w:lang w:val="en-GB"/>
              </w:rPr>
              <w:t>.</w:t>
            </w:r>
          </w:p>
          <w:p w:rsidR="003B7F4D" w:rsidRPr="00942E4B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Relevant subject teachers with appropriate qualification are available with the institute. </w:t>
            </w:r>
          </w:p>
          <w:p w:rsidR="003B7F4D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A designated Examination hall/covered space having appropriate area shall be made available. </w:t>
            </w:r>
          </w:p>
          <w:p w:rsidR="003B7F4D" w:rsidRPr="003B7F4D" w:rsidRDefault="003B7F4D" w:rsidP="003B7F4D">
            <w:pPr>
              <w:pStyle w:val="ListParagraph"/>
              <w:numPr>
                <w:ilvl w:val="0"/>
                <w:numId w:val="9"/>
              </w:numPr>
              <w:ind w:left="522" w:hanging="270"/>
              <w:jc w:val="both"/>
              <w:rPr>
                <w:lang w:val="en-GB"/>
              </w:rPr>
            </w:pPr>
            <w:r w:rsidRPr="003B7F4D">
              <w:rPr>
                <w:lang w:val="en-GB"/>
              </w:rPr>
              <w:t>Clean environment with good ventilation may be made available in the whole institution.</w:t>
            </w: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942E4B" w:rsidRDefault="003B7F4D" w:rsidP="003A75BA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Fresh affiliation processing</w:t>
            </w:r>
          </w:p>
        </w:tc>
        <w:tc>
          <w:tcPr>
            <w:tcW w:w="1440" w:type="dxa"/>
            <w:vAlign w:val="center"/>
          </w:tcPr>
          <w:p w:rsidR="003B7F4D" w:rsidRPr="00942E4B" w:rsidRDefault="003B7F4D" w:rsidP="003A75BA">
            <w:pPr>
              <w:contextualSpacing/>
              <w:jc w:val="right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Nil</w:t>
            </w: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942E4B" w:rsidRDefault="003B7F4D" w:rsidP="003A75BA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Inspection fee (within Islamabad &amp; Rawalpindi districts)</w:t>
            </w:r>
          </w:p>
        </w:tc>
        <w:tc>
          <w:tcPr>
            <w:tcW w:w="1440" w:type="dxa"/>
            <w:vAlign w:val="center"/>
          </w:tcPr>
          <w:p w:rsidR="003B7F4D" w:rsidRPr="00942E4B" w:rsidRDefault="003B7F4D" w:rsidP="003A75BA">
            <w:pPr>
              <w:contextualSpacing/>
              <w:jc w:val="right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5000</w:t>
            </w: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942E4B" w:rsidRDefault="003B7F4D" w:rsidP="003A75BA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Inspection fee (other than Islamabad &amp; Rawalpindi districts)</w:t>
            </w:r>
          </w:p>
        </w:tc>
        <w:tc>
          <w:tcPr>
            <w:tcW w:w="1440" w:type="dxa"/>
            <w:vAlign w:val="center"/>
          </w:tcPr>
          <w:p w:rsidR="003B7F4D" w:rsidRPr="00942E4B" w:rsidRDefault="003B7F4D" w:rsidP="003A75BA">
            <w:pPr>
              <w:contextualSpacing/>
              <w:jc w:val="right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10000</w:t>
            </w: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942E4B" w:rsidRDefault="003B7F4D" w:rsidP="003A75BA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 xml:space="preserve">Surcharge at </w:t>
            </w:r>
            <w:proofErr w:type="spellStart"/>
            <w:r w:rsidRPr="00942E4B">
              <w:rPr>
                <w:rFonts w:eastAsia="Calibri"/>
                <w:bCs/>
              </w:rPr>
              <w:t>SSC</w:t>
            </w:r>
            <w:proofErr w:type="spellEnd"/>
            <w:r w:rsidRPr="00942E4B">
              <w:rPr>
                <w:rFonts w:eastAsia="Calibri"/>
                <w:bCs/>
              </w:rPr>
              <w:t xml:space="preserve"> &amp; </w:t>
            </w:r>
            <w:proofErr w:type="spellStart"/>
            <w:r w:rsidRPr="00942E4B">
              <w:rPr>
                <w:rFonts w:eastAsia="Calibri"/>
                <w:bCs/>
              </w:rPr>
              <w:t>HSSC</w:t>
            </w:r>
            <w:proofErr w:type="spellEnd"/>
            <w:r w:rsidRPr="00942E4B">
              <w:rPr>
                <w:rFonts w:eastAsia="Calibri"/>
                <w:bCs/>
              </w:rPr>
              <w:t xml:space="preserve"> Level</w:t>
            </w:r>
          </w:p>
        </w:tc>
        <w:tc>
          <w:tcPr>
            <w:tcW w:w="1440" w:type="dxa"/>
            <w:vAlign w:val="center"/>
          </w:tcPr>
          <w:p w:rsidR="003B7F4D" w:rsidRPr="00942E4B" w:rsidRDefault="003B7F4D" w:rsidP="003A75BA">
            <w:pPr>
              <w:contextualSpacing/>
              <w:jc w:val="right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Nil</w:t>
            </w: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942E4B" w:rsidRDefault="003B7F4D" w:rsidP="003A75BA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Fresh Group/Subject fee</w:t>
            </w:r>
          </w:p>
        </w:tc>
        <w:tc>
          <w:tcPr>
            <w:tcW w:w="1440" w:type="dxa"/>
            <w:vAlign w:val="center"/>
          </w:tcPr>
          <w:p w:rsidR="003B7F4D" w:rsidRPr="00942E4B" w:rsidRDefault="003B7F4D" w:rsidP="003A75BA">
            <w:pPr>
              <w:contextualSpacing/>
              <w:jc w:val="right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1000</w:t>
            </w: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  <w:vAlign w:val="center"/>
          </w:tcPr>
          <w:p w:rsidR="003B7F4D" w:rsidRPr="00942E4B" w:rsidRDefault="003B7F4D" w:rsidP="003A75BA">
            <w:pPr>
              <w:pStyle w:val="ListParagraph"/>
              <w:ind w:left="0"/>
            </w:pPr>
            <w:r w:rsidRPr="00942E4B">
              <w:t xml:space="preserve">Security fee at </w:t>
            </w:r>
            <w:proofErr w:type="spellStart"/>
            <w:r w:rsidRPr="00942E4B">
              <w:t>SSC</w:t>
            </w:r>
            <w:proofErr w:type="spellEnd"/>
            <w:r w:rsidRPr="00942E4B">
              <w:t xml:space="preserve"> &amp; </w:t>
            </w:r>
            <w:proofErr w:type="spellStart"/>
            <w:r w:rsidRPr="00942E4B">
              <w:t>HSSC</w:t>
            </w:r>
            <w:proofErr w:type="spellEnd"/>
            <w:r w:rsidRPr="00942E4B">
              <w:t xml:space="preserve"> Level</w:t>
            </w:r>
          </w:p>
        </w:tc>
        <w:tc>
          <w:tcPr>
            <w:tcW w:w="1440" w:type="dxa"/>
            <w:vAlign w:val="center"/>
          </w:tcPr>
          <w:p w:rsidR="003B7F4D" w:rsidRPr="00942E4B" w:rsidRDefault="003B7F4D" w:rsidP="003A75BA">
            <w:pPr>
              <w:contextualSpacing/>
              <w:jc w:val="right"/>
              <w:rPr>
                <w:rFonts w:eastAsia="Calibri"/>
                <w:b/>
              </w:rPr>
            </w:pPr>
            <w:r w:rsidRPr="00942E4B">
              <w:rPr>
                <w:rFonts w:eastAsia="Calibri"/>
                <w:b/>
              </w:rPr>
              <w:t>Nil</w:t>
            </w: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3B7F4D" w:rsidRPr="003B7F4D" w:rsidTr="0086594C">
        <w:trPr>
          <w:trHeight w:val="288"/>
        </w:trPr>
        <w:tc>
          <w:tcPr>
            <w:tcW w:w="5598" w:type="dxa"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9018" w:type="dxa"/>
            <w:vMerge/>
          </w:tcPr>
          <w:p w:rsidR="003B7F4D" w:rsidRPr="003B7F4D" w:rsidRDefault="003B7F4D" w:rsidP="003B7F4D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</w:tbl>
    <w:p w:rsidR="008F71D9" w:rsidRDefault="008F71D9" w:rsidP="0092036D">
      <w:pPr>
        <w:tabs>
          <w:tab w:val="left" w:pos="540"/>
          <w:tab w:val="left" w:pos="1080"/>
          <w:tab w:val="left" w:pos="1620"/>
          <w:tab w:val="left" w:pos="2250"/>
          <w:tab w:val="left" w:pos="2700"/>
          <w:tab w:val="left" w:pos="3240"/>
        </w:tabs>
        <w:spacing w:after="0"/>
        <w:jc w:val="both"/>
        <w:rPr>
          <w:rFonts w:ascii="Calibri" w:hAnsi="Calibri" w:cs="Calibri"/>
          <w:b/>
          <w:sz w:val="8"/>
          <w:szCs w:val="8"/>
          <w:lang w:val="en-GB"/>
        </w:rPr>
      </w:pPr>
    </w:p>
    <w:p w:rsidR="008F71D9" w:rsidRDefault="008F71D9">
      <w:pPr>
        <w:rPr>
          <w:rFonts w:ascii="Calibri" w:hAnsi="Calibri" w:cs="Calibri"/>
          <w:b/>
          <w:sz w:val="8"/>
          <w:szCs w:val="8"/>
          <w:lang w:val="en-GB"/>
        </w:rPr>
      </w:pPr>
      <w:r>
        <w:rPr>
          <w:rFonts w:ascii="Calibri" w:hAnsi="Calibri" w:cs="Calibri"/>
          <w:b/>
          <w:sz w:val="8"/>
          <w:szCs w:val="8"/>
          <w:lang w:val="en-GB"/>
        </w:rPr>
        <w:br w:type="page"/>
      </w:r>
    </w:p>
    <w:p w:rsidR="0086594C" w:rsidRPr="0086594C" w:rsidRDefault="0086594C" w:rsidP="0086594C">
      <w:pPr>
        <w:jc w:val="center"/>
        <w:rPr>
          <w:b/>
          <w:sz w:val="28"/>
          <w:u w:val="single"/>
        </w:rPr>
      </w:pPr>
      <w:r w:rsidRPr="0086594C">
        <w:rPr>
          <w:b/>
          <w:sz w:val="28"/>
          <w:u w:val="single"/>
        </w:rPr>
        <w:lastRenderedPageBreak/>
        <w:t>INFRASTRUCTURE FOR AFFILIATION OF RELIGIOUS SCHOOLS (</w:t>
      </w:r>
      <w:proofErr w:type="spellStart"/>
      <w:r w:rsidRPr="0086594C">
        <w:rPr>
          <w:b/>
          <w:sz w:val="28"/>
          <w:u w:val="single"/>
        </w:rPr>
        <w:t>MADRASAH</w:t>
      </w:r>
      <w:proofErr w:type="spellEnd"/>
      <w:r w:rsidRPr="0086594C">
        <w:rPr>
          <w:b/>
          <w:sz w:val="28"/>
          <w:u w:val="single"/>
        </w:rPr>
        <w:t xml:space="preserve">) </w:t>
      </w:r>
    </w:p>
    <w:tbl>
      <w:tblPr>
        <w:tblStyle w:val="TableGrid"/>
        <w:tblW w:w="16056" w:type="dxa"/>
        <w:tblLook w:val="04A0"/>
      </w:tblPr>
      <w:tblGrid>
        <w:gridCol w:w="5688"/>
        <w:gridCol w:w="1350"/>
        <w:gridCol w:w="9018"/>
      </w:tblGrid>
      <w:tr w:rsidR="008F71D9" w:rsidRPr="003B7F4D" w:rsidTr="003A75BA">
        <w:trPr>
          <w:trHeight w:val="288"/>
        </w:trPr>
        <w:tc>
          <w:tcPr>
            <w:tcW w:w="7038" w:type="dxa"/>
            <w:gridSpan w:val="2"/>
            <w:vAlign w:val="center"/>
          </w:tcPr>
          <w:p w:rsidR="008F71D9" w:rsidRPr="002127B5" w:rsidRDefault="008F71D9" w:rsidP="003A75BA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FEE DETAIL </w:t>
            </w:r>
          </w:p>
        </w:tc>
        <w:tc>
          <w:tcPr>
            <w:tcW w:w="9018" w:type="dxa"/>
          </w:tcPr>
          <w:p w:rsidR="008F71D9" w:rsidRPr="003B7F4D" w:rsidRDefault="008F71D9" w:rsidP="003A75BA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2127B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INFRASTRUCTURE DETAILS</w:t>
            </w:r>
          </w:p>
        </w:tc>
      </w:tr>
      <w:tr w:rsidR="0086594C" w:rsidRPr="003B7F4D" w:rsidTr="00DB42C2">
        <w:trPr>
          <w:trHeight w:val="288"/>
        </w:trPr>
        <w:tc>
          <w:tcPr>
            <w:tcW w:w="5688" w:type="dxa"/>
            <w:vAlign w:val="center"/>
          </w:tcPr>
          <w:p w:rsidR="0086594C" w:rsidRPr="002127B5" w:rsidRDefault="0086594C" w:rsidP="003A75BA">
            <w:pPr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vAlign w:val="center"/>
          </w:tcPr>
          <w:p w:rsidR="0086594C" w:rsidRPr="002127B5" w:rsidRDefault="0086594C" w:rsidP="003A75BA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Rates </w:t>
            </w:r>
            <w:r w:rsidRPr="002127B5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proofErr w:type="spellStart"/>
            <w:r w:rsidRPr="002127B5">
              <w:rPr>
                <w:rFonts w:ascii="Calibri" w:hAnsi="Calibri" w:cs="Calibri"/>
                <w:b/>
                <w:sz w:val="24"/>
                <w:szCs w:val="24"/>
              </w:rPr>
              <w:t>Rs</w:t>
            </w:r>
            <w:proofErr w:type="spellEnd"/>
            <w:r w:rsidRPr="002127B5">
              <w:rPr>
                <w:rFonts w:ascii="Calibri" w:hAnsi="Calibri" w:cs="Calibri"/>
                <w:b/>
                <w:sz w:val="24"/>
                <w:szCs w:val="24"/>
              </w:rPr>
              <w:t>.)</w:t>
            </w:r>
          </w:p>
        </w:tc>
        <w:tc>
          <w:tcPr>
            <w:tcW w:w="9018" w:type="dxa"/>
            <w:vMerge w:val="restart"/>
          </w:tcPr>
          <w:p w:rsidR="0086594C" w:rsidRDefault="0086594C" w:rsidP="0086594C">
            <w:pPr>
              <w:pStyle w:val="ListParagraph"/>
              <w:ind w:left="0" w:firstLine="72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Affiliation shall be granted to the Religious Schools (</w:t>
            </w:r>
            <w:proofErr w:type="spellStart"/>
            <w:r w:rsidRPr="00942E4B">
              <w:rPr>
                <w:lang w:val="en-GB"/>
              </w:rPr>
              <w:t>Madrasah</w:t>
            </w:r>
            <w:proofErr w:type="spellEnd"/>
            <w:r w:rsidRPr="00942E4B">
              <w:rPr>
                <w:lang w:val="en-GB"/>
              </w:rPr>
              <w:t>) which is established in a building having a land of appropriate area along</w:t>
            </w:r>
            <w:r>
              <w:rPr>
                <w:lang w:val="en-GB"/>
              </w:rPr>
              <w:t xml:space="preserve"> </w:t>
            </w:r>
            <w:r w:rsidRPr="00942E4B">
              <w:rPr>
                <w:lang w:val="en-GB"/>
              </w:rPr>
              <w:t>with following accommodation, as well.</w:t>
            </w:r>
          </w:p>
          <w:p w:rsidR="0086594C" w:rsidRPr="00942E4B" w:rsidRDefault="0086594C" w:rsidP="0086594C">
            <w:pPr>
              <w:pStyle w:val="ListParagraph"/>
              <w:ind w:left="0" w:firstLine="720"/>
              <w:jc w:val="both"/>
              <w:rPr>
                <w:lang w:val="en-GB"/>
              </w:rPr>
            </w:pP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</w:pPr>
            <w:r w:rsidRPr="00942E4B">
              <w:rPr>
                <w:lang w:val="en-GB"/>
              </w:rPr>
              <w:t xml:space="preserve">Minimum size of class rooms shall be according to the strength of students at least 10 </w:t>
            </w:r>
            <w:proofErr w:type="spellStart"/>
            <w:r w:rsidRPr="00942E4B">
              <w:rPr>
                <w:lang w:val="en-GB"/>
              </w:rPr>
              <w:t>sq.ft</w:t>
            </w:r>
            <w:proofErr w:type="spellEnd"/>
            <w:r w:rsidRPr="00942E4B">
              <w:rPr>
                <w:lang w:val="en-GB"/>
              </w:rPr>
              <w:t xml:space="preserve">. </w:t>
            </w:r>
            <w:proofErr w:type="gramStart"/>
            <w:r w:rsidRPr="00942E4B">
              <w:rPr>
                <w:lang w:val="en-GB"/>
              </w:rPr>
              <w:t>per</w:t>
            </w:r>
            <w:proofErr w:type="gramEnd"/>
            <w:r w:rsidRPr="00942E4B">
              <w:rPr>
                <w:lang w:val="en-GB"/>
              </w:rPr>
              <w:t xml:space="preserve"> student must be made available in class room.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Separate Class rooms for each group offered by Religious Schools (</w:t>
            </w:r>
            <w:proofErr w:type="spellStart"/>
            <w:r w:rsidRPr="00942E4B">
              <w:rPr>
                <w:lang w:val="en-GB"/>
              </w:rPr>
              <w:t>Madrasah</w:t>
            </w:r>
            <w:proofErr w:type="spellEnd"/>
            <w:r w:rsidRPr="00942E4B">
              <w:rPr>
                <w:lang w:val="en-GB"/>
              </w:rPr>
              <w:t xml:space="preserve">) are required at </w:t>
            </w:r>
            <w:proofErr w:type="spellStart"/>
            <w:r w:rsidRPr="00942E4B">
              <w:rPr>
                <w:lang w:val="en-GB"/>
              </w:rPr>
              <w:t>SSC</w:t>
            </w:r>
            <w:proofErr w:type="spellEnd"/>
            <w:r w:rsidRPr="00942E4B">
              <w:rPr>
                <w:lang w:val="en-GB"/>
              </w:rPr>
              <w:t xml:space="preserve"> &amp; </w:t>
            </w:r>
            <w:proofErr w:type="spellStart"/>
            <w:r w:rsidRPr="00942E4B">
              <w:rPr>
                <w:lang w:val="en-GB"/>
              </w:rPr>
              <w:t>HSSC</w:t>
            </w:r>
            <w:proofErr w:type="spellEnd"/>
            <w:r w:rsidRPr="00942E4B">
              <w:rPr>
                <w:lang w:val="en-GB"/>
              </w:rPr>
              <w:t xml:space="preserve"> level. 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One spacious laboratory is acceptable for all disciplines of Science. Laboratory should be well equipped. Schedule and list of practical shall be displayed on charts. Labelled models/charts shall also be made available in Science Labs. 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Computer laboratories shall be established, in case Religious Schools (</w:t>
            </w:r>
            <w:proofErr w:type="spellStart"/>
            <w:r w:rsidRPr="00942E4B">
              <w:rPr>
                <w:lang w:val="en-GB"/>
              </w:rPr>
              <w:t>Madrasah</w:t>
            </w:r>
            <w:proofErr w:type="spellEnd"/>
            <w:r w:rsidRPr="00942E4B">
              <w:rPr>
                <w:lang w:val="en-GB"/>
              </w:rPr>
              <w:t xml:space="preserve">) is seeking affiliation in Computer Science subject. 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For time gap arrangements the Religious Schools (</w:t>
            </w:r>
            <w:proofErr w:type="spellStart"/>
            <w:r w:rsidRPr="00942E4B">
              <w:rPr>
                <w:lang w:val="en-GB"/>
              </w:rPr>
              <w:t>Madrasah</w:t>
            </w:r>
            <w:proofErr w:type="spellEnd"/>
            <w:r w:rsidRPr="00942E4B">
              <w:rPr>
                <w:lang w:val="en-GB"/>
              </w:rPr>
              <w:t>) can start the Practical program in the Labs of other institutes/workshops and same should be made available within two years from the date of affiliation.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Library would be established with worth reading books.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Staff rooms shall be </w:t>
            </w:r>
            <w:proofErr w:type="gramStart"/>
            <w:r>
              <w:rPr>
                <w:lang w:val="en-GB"/>
              </w:rPr>
              <w:t>arranged/</w:t>
            </w:r>
            <w:r w:rsidRPr="00942E4B">
              <w:rPr>
                <w:lang w:val="en-GB"/>
              </w:rPr>
              <w:t>established</w:t>
            </w:r>
            <w:proofErr w:type="gramEnd"/>
            <w:r w:rsidRPr="00942E4B">
              <w:rPr>
                <w:lang w:val="en-GB"/>
              </w:rPr>
              <w:t>.</w:t>
            </w:r>
          </w:p>
          <w:p w:rsidR="0086594C" w:rsidRPr="00942E4B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>Relevant subject teachers with appropriate qualification are available with the Religious Schools (</w:t>
            </w:r>
            <w:proofErr w:type="spellStart"/>
            <w:r w:rsidRPr="00942E4B">
              <w:rPr>
                <w:lang w:val="en-GB"/>
              </w:rPr>
              <w:t>Madrasah</w:t>
            </w:r>
            <w:proofErr w:type="spellEnd"/>
            <w:r w:rsidRPr="00942E4B">
              <w:rPr>
                <w:lang w:val="en-GB"/>
              </w:rPr>
              <w:t xml:space="preserve">). </w:t>
            </w:r>
          </w:p>
          <w:p w:rsidR="0086594C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942E4B">
              <w:rPr>
                <w:lang w:val="en-GB"/>
              </w:rPr>
              <w:t xml:space="preserve">A designated Examination hall/covered space having appropriate area shall be made available. </w:t>
            </w:r>
          </w:p>
          <w:p w:rsidR="0086594C" w:rsidRPr="008F71D9" w:rsidRDefault="0086594C" w:rsidP="008F71D9">
            <w:pPr>
              <w:pStyle w:val="ListParagraph"/>
              <w:numPr>
                <w:ilvl w:val="0"/>
                <w:numId w:val="7"/>
              </w:numPr>
              <w:ind w:left="522" w:hanging="270"/>
              <w:jc w:val="both"/>
              <w:rPr>
                <w:lang w:val="en-GB"/>
              </w:rPr>
            </w:pPr>
            <w:r w:rsidRPr="008F71D9">
              <w:rPr>
                <w:lang w:val="en-GB"/>
              </w:rPr>
              <w:t>Clean environment with good ventilation may be made available in the whole Religious Schools (</w:t>
            </w:r>
            <w:proofErr w:type="spellStart"/>
            <w:r w:rsidRPr="008F71D9">
              <w:rPr>
                <w:lang w:val="en-GB"/>
              </w:rPr>
              <w:t>Madrasah</w:t>
            </w:r>
            <w:proofErr w:type="spellEnd"/>
            <w:r w:rsidRPr="008F71D9">
              <w:rPr>
                <w:lang w:val="en-GB"/>
              </w:rPr>
              <w:t>).</w:t>
            </w:r>
          </w:p>
        </w:tc>
      </w:tr>
      <w:tr w:rsidR="0086594C" w:rsidRPr="003B7F4D" w:rsidTr="00DB42C2">
        <w:trPr>
          <w:trHeight w:val="288"/>
        </w:trPr>
        <w:tc>
          <w:tcPr>
            <w:tcW w:w="5688" w:type="dxa"/>
            <w:vAlign w:val="center"/>
          </w:tcPr>
          <w:p w:rsidR="0086594C" w:rsidRPr="00942E4B" w:rsidRDefault="0086594C" w:rsidP="008F71D9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Fresh affiliation processing</w:t>
            </w:r>
          </w:p>
        </w:tc>
        <w:tc>
          <w:tcPr>
            <w:tcW w:w="1350" w:type="dxa"/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1000</w:t>
            </w: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86594C" w:rsidRPr="003B7F4D" w:rsidTr="00DB42C2">
        <w:trPr>
          <w:trHeight w:val="288"/>
        </w:trPr>
        <w:tc>
          <w:tcPr>
            <w:tcW w:w="5688" w:type="dxa"/>
            <w:vAlign w:val="center"/>
          </w:tcPr>
          <w:p w:rsidR="0086594C" w:rsidRPr="00942E4B" w:rsidRDefault="0086594C" w:rsidP="008F71D9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Inspection fee (within Islamabad &amp; Rawalpindi districts)</w:t>
            </w:r>
          </w:p>
        </w:tc>
        <w:tc>
          <w:tcPr>
            <w:tcW w:w="1350" w:type="dxa"/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5000</w:t>
            </w: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86594C" w:rsidRPr="003B7F4D" w:rsidTr="00DB42C2">
        <w:trPr>
          <w:trHeight w:val="288"/>
        </w:trPr>
        <w:tc>
          <w:tcPr>
            <w:tcW w:w="5688" w:type="dxa"/>
            <w:vAlign w:val="center"/>
          </w:tcPr>
          <w:p w:rsidR="0086594C" w:rsidRPr="00942E4B" w:rsidRDefault="0086594C" w:rsidP="008F71D9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Inspection fee (other than Islamabad &amp; Rawalpindi districts)</w:t>
            </w:r>
          </w:p>
        </w:tc>
        <w:tc>
          <w:tcPr>
            <w:tcW w:w="1350" w:type="dxa"/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10000</w:t>
            </w: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86594C" w:rsidRPr="003B7F4D" w:rsidTr="00DB42C2">
        <w:trPr>
          <w:trHeight w:val="288"/>
        </w:trPr>
        <w:tc>
          <w:tcPr>
            <w:tcW w:w="5688" w:type="dxa"/>
            <w:vAlign w:val="center"/>
          </w:tcPr>
          <w:p w:rsidR="0086594C" w:rsidRPr="00942E4B" w:rsidRDefault="0086594C" w:rsidP="008F71D9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 xml:space="preserve">Surcharge at </w:t>
            </w:r>
            <w:proofErr w:type="spellStart"/>
            <w:r w:rsidRPr="00942E4B">
              <w:rPr>
                <w:rFonts w:eastAsia="Calibri"/>
                <w:bCs/>
              </w:rPr>
              <w:t>SSC</w:t>
            </w:r>
            <w:proofErr w:type="spellEnd"/>
            <w:r w:rsidRPr="00942E4B">
              <w:rPr>
                <w:rFonts w:eastAsia="Calibri"/>
                <w:bCs/>
              </w:rPr>
              <w:t xml:space="preserve"> &amp; </w:t>
            </w:r>
            <w:proofErr w:type="spellStart"/>
            <w:r w:rsidRPr="00942E4B">
              <w:rPr>
                <w:rFonts w:eastAsia="Calibri"/>
                <w:bCs/>
              </w:rPr>
              <w:t>HSSC</w:t>
            </w:r>
            <w:proofErr w:type="spellEnd"/>
            <w:r w:rsidRPr="00942E4B">
              <w:rPr>
                <w:rFonts w:eastAsia="Calibri"/>
                <w:bCs/>
              </w:rPr>
              <w:t xml:space="preserve"> Level</w:t>
            </w:r>
          </w:p>
        </w:tc>
        <w:tc>
          <w:tcPr>
            <w:tcW w:w="1350" w:type="dxa"/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Nil</w:t>
            </w: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86594C" w:rsidRPr="003B7F4D" w:rsidTr="00DB42C2">
        <w:trPr>
          <w:trHeight w:val="288"/>
        </w:trPr>
        <w:tc>
          <w:tcPr>
            <w:tcW w:w="5688" w:type="dxa"/>
            <w:vAlign w:val="center"/>
          </w:tcPr>
          <w:p w:rsidR="0086594C" w:rsidRPr="00942E4B" w:rsidRDefault="0086594C" w:rsidP="008F71D9">
            <w:pPr>
              <w:contextualSpacing/>
              <w:rPr>
                <w:rFonts w:eastAsia="Calibri"/>
                <w:bCs/>
              </w:rPr>
            </w:pPr>
            <w:r w:rsidRPr="00942E4B">
              <w:rPr>
                <w:rFonts w:eastAsia="Calibri"/>
                <w:bCs/>
              </w:rPr>
              <w:t>Fresh Group/Subject fee</w:t>
            </w:r>
          </w:p>
        </w:tc>
        <w:tc>
          <w:tcPr>
            <w:tcW w:w="1350" w:type="dxa"/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942E4B">
              <w:rPr>
                <w:rFonts w:eastAsia="Calibri"/>
                <w:b/>
                <w:bCs/>
              </w:rPr>
              <w:t>1000</w:t>
            </w: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86594C" w:rsidRPr="003B7F4D" w:rsidTr="00DB42C2">
        <w:trPr>
          <w:trHeight w:val="420"/>
        </w:trPr>
        <w:tc>
          <w:tcPr>
            <w:tcW w:w="5688" w:type="dxa"/>
            <w:tcBorders>
              <w:bottom w:val="single" w:sz="4" w:space="0" w:color="auto"/>
            </w:tcBorders>
            <w:vAlign w:val="center"/>
          </w:tcPr>
          <w:p w:rsidR="0086594C" w:rsidRPr="00942E4B" w:rsidRDefault="0086594C" w:rsidP="008F71D9">
            <w:pPr>
              <w:pStyle w:val="ListParagraph"/>
              <w:ind w:left="0"/>
            </w:pPr>
            <w:r w:rsidRPr="00942E4B">
              <w:t xml:space="preserve">Security fee at </w:t>
            </w:r>
            <w:proofErr w:type="spellStart"/>
            <w:r w:rsidRPr="00942E4B">
              <w:t>SSC</w:t>
            </w:r>
            <w:proofErr w:type="spellEnd"/>
            <w:r w:rsidRPr="00942E4B">
              <w:t xml:space="preserve"> &amp; </w:t>
            </w:r>
            <w:proofErr w:type="spellStart"/>
            <w:r w:rsidRPr="00942E4B">
              <w:t>HSSC</w:t>
            </w:r>
            <w:proofErr w:type="spellEnd"/>
            <w:r w:rsidRPr="00942E4B">
              <w:t xml:space="preserve"> Level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</w:rPr>
            </w:pPr>
            <w:r w:rsidRPr="00942E4B">
              <w:rPr>
                <w:rFonts w:eastAsia="Calibri"/>
                <w:b/>
              </w:rPr>
              <w:t>Nil</w:t>
            </w: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  <w:tr w:rsidR="0086594C" w:rsidRPr="003B7F4D" w:rsidTr="00DB42C2">
        <w:trPr>
          <w:trHeight w:val="3645"/>
        </w:trPr>
        <w:tc>
          <w:tcPr>
            <w:tcW w:w="5688" w:type="dxa"/>
            <w:tcBorders>
              <w:top w:val="single" w:sz="4" w:space="0" w:color="auto"/>
            </w:tcBorders>
            <w:vAlign w:val="center"/>
          </w:tcPr>
          <w:p w:rsidR="0086594C" w:rsidRPr="00942E4B" w:rsidRDefault="0086594C" w:rsidP="008F71D9">
            <w:pPr>
              <w:pStyle w:val="ListParagraph"/>
              <w:ind w:left="0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6594C" w:rsidRPr="00942E4B" w:rsidRDefault="0086594C" w:rsidP="008F71D9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9018" w:type="dxa"/>
            <w:vMerge/>
          </w:tcPr>
          <w:p w:rsidR="0086594C" w:rsidRPr="003B7F4D" w:rsidRDefault="0086594C" w:rsidP="008F71D9">
            <w:pPr>
              <w:tabs>
                <w:tab w:val="left" w:pos="540"/>
                <w:tab w:val="left" w:pos="1080"/>
                <w:tab w:val="left" w:pos="1620"/>
                <w:tab w:val="left" w:pos="2250"/>
                <w:tab w:val="left" w:pos="2700"/>
                <w:tab w:val="left" w:pos="3240"/>
              </w:tabs>
              <w:jc w:val="both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</w:p>
        </w:tc>
      </w:tr>
    </w:tbl>
    <w:p w:rsidR="00CE65CB" w:rsidRPr="0092036D" w:rsidRDefault="00CE65CB" w:rsidP="0092036D">
      <w:pPr>
        <w:tabs>
          <w:tab w:val="left" w:pos="540"/>
          <w:tab w:val="left" w:pos="1080"/>
          <w:tab w:val="left" w:pos="1620"/>
          <w:tab w:val="left" w:pos="2250"/>
          <w:tab w:val="left" w:pos="2700"/>
          <w:tab w:val="left" w:pos="3240"/>
        </w:tabs>
        <w:spacing w:after="0"/>
        <w:jc w:val="both"/>
        <w:rPr>
          <w:rFonts w:ascii="Calibri" w:hAnsi="Calibri" w:cs="Calibri"/>
          <w:b/>
          <w:sz w:val="8"/>
          <w:szCs w:val="8"/>
          <w:lang w:val="en-GB"/>
        </w:rPr>
      </w:pPr>
    </w:p>
    <w:sectPr w:rsidR="00CE65CB" w:rsidRPr="0092036D" w:rsidSect="00CE65CB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EF"/>
    <w:multiLevelType w:val="hybridMultilevel"/>
    <w:tmpl w:val="52CA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7208"/>
    <w:multiLevelType w:val="hybridMultilevel"/>
    <w:tmpl w:val="6CC8A934"/>
    <w:lvl w:ilvl="0" w:tplc="D93C5A6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2475"/>
    <w:multiLevelType w:val="hybridMultilevel"/>
    <w:tmpl w:val="798ED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D64F68"/>
    <w:multiLevelType w:val="hybridMultilevel"/>
    <w:tmpl w:val="BDAE6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631B1"/>
    <w:multiLevelType w:val="hybridMultilevel"/>
    <w:tmpl w:val="019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07AA4"/>
    <w:multiLevelType w:val="hybridMultilevel"/>
    <w:tmpl w:val="60F8697C"/>
    <w:lvl w:ilvl="0" w:tplc="FC3AD65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544E"/>
    <w:multiLevelType w:val="hybridMultilevel"/>
    <w:tmpl w:val="B5B8FF20"/>
    <w:lvl w:ilvl="0" w:tplc="2408B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17D4D"/>
    <w:multiLevelType w:val="hybridMultilevel"/>
    <w:tmpl w:val="04D83980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BE2F37"/>
    <w:multiLevelType w:val="hybridMultilevel"/>
    <w:tmpl w:val="1E6A41E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1EF3"/>
    <w:multiLevelType w:val="hybridMultilevel"/>
    <w:tmpl w:val="F484F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41DE"/>
    <w:rsid w:val="000E1326"/>
    <w:rsid w:val="000F0176"/>
    <w:rsid w:val="00120812"/>
    <w:rsid w:val="00166CFC"/>
    <w:rsid w:val="001E0472"/>
    <w:rsid w:val="00212AFF"/>
    <w:rsid w:val="002441DE"/>
    <w:rsid w:val="002666BA"/>
    <w:rsid w:val="00326232"/>
    <w:rsid w:val="0038570D"/>
    <w:rsid w:val="003B7F4D"/>
    <w:rsid w:val="003E5DD0"/>
    <w:rsid w:val="004B155C"/>
    <w:rsid w:val="00510DBC"/>
    <w:rsid w:val="00565E8C"/>
    <w:rsid w:val="005942C6"/>
    <w:rsid w:val="005A222A"/>
    <w:rsid w:val="005B2968"/>
    <w:rsid w:val="005B5ABC"/>
    <w:rsid w:val="005D5474"/>
    <w:rsid w:val="005E4319"/>
    <w:rsid w:val="006764CD"/>
    <w:rsid w:val="006E3B80"/>
    <w:rsid w:val="00700978"/>
    <w:rsid w:val="007135A4"/>
    <w:rsid w:val="00714257"/>
    <w:rsid w:val="00720AAB"/>
    <w:rsid w:val="00725939"/>
    <w:rsid w:val="00781362"/>
    <w:rsid w:val="00803817"/>
    <w:rsid w:val="008176EA"/>
    <w:rsid w:val="0086454D"/>
    <w:rsid w:val="0086594C"/>
    <w:rsid w:val="008F71D9"/>
    <w:rsid w:val="0092036D"/>
    <w:rsid w:val="009625EE"/>
    <w:rsid w:val="00970CFF"/>
    <w:rsid w:val="00A80BED"/>
    <w:rsid w:val="00A83DB5"/>
    <w:rsid w:val="00A95B86"/>
    <w:rsid w:val="00AC2D7E"/>
    <w:rsid w:val="00AC6330"/>
    <w:rsid w:val="00AE6053"/>
    <w:rsid w:val="00B04A48"/>
    <w:rsid w:val="00B051BD"/>
    <w:rsid w:val="00B146D7"/>
    <w:rsid w:val="00B154BF"/>
    <w:rsid w:val="00B17F95"/>
    <w:rsid w:val="00B45106"/>
    <w:rsid w:val="00BA1DE0"/>
    <w:rsid w:val="00BA4034"/>
    <w:rsid w:val="00BD2A83"/>
    <w:rsid w:val="00BE01B3"/>
    <w:rsid w:val="00BF0F99"/>
    <w:rsid w:val="00CE65CB"/>
    <w:rsid w:val="00CF5ED0"/>
    <w:rsid w:val="00D90B33"/>
    <w:rsid w:val="00DB42C2"/>
    <w:rsid w:val="00E25A32"/>
    <w:rsid w:val="00EC0783"/>
    <w:rsid w:val="00ED0643"/>
    <w:rsid w:val="00F2000C"/>
    <w:rsid w:val="00F43598"/>
    <w:rsid w:val="00F55EEF"/>
    <w:rsid w:val="00F746A4"/>
    <w:rsid w:val="00FC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DE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1DE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1DE"/>
    <w:pPr>
      <w:ind w:left="720"/>
      <w:contextualSpacing/>
    </w:pPr>
  </w:style>
  <w:style w:type="paragraph" w:styleId="NoSpacing">
    <w:name w:val="No Spacing"/>
    <w:uiPriority w:val="1"/>
    <w:qFormat/>
    <w:rsid w:val="008176EA"/>
    <w:pPr>
      <w:spacing w:after="0" w:line="240" w:lineRule="auto"/>
    </w:pPr>
    <w:rPr>
      <w:rFonts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F4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9020-2D91-42C0-8DB1-D1876723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</dc:creator>
  <cp:lastModifiedBy>Affiliation pc 1</cp:lastModifiedBy>
  <cp:revision>28</cp:revision>
  <cp:lastPrinted>2022-03-10T05:07:00Z</cp:lastPrinted>
  <dcterms:created xsi:type="dcterms:W3CDTF">2021-03-03T06:08:00Z</dcterms:created>
  <dcterms:modified xsi:type="dcterms:W3CDTF">2022-07-28T05:07:00Z</dcterms:modified>
</cp:coreProperties>
</file>